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5.0.0 -->
  <w:body>
    <w:p w:rsidR="00B33DA4" w:rsidP="00B33DA4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2020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DA4" w:rsidP="00B33DA4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Leanne Stone (School Principal) on 26 February, 2020 at 03:08 PM</w:t>
                              <w:br/>
                              <w:t>Endorsed by Andrew Ough (Senior Education Improvement Leader) on 28 February, 2020 at 11:26 AM</w:t>
                              <w:br/>
                              <w:t>Awaiting endorsement by School Council President</w:t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height:89.29pt;margin-left:7.95pt;margin-top:-99.25pt;mso-height-percent:0;mso-height-relative:margin;mso-position-horizontal-relative:margin;mso-position-vertical-relative:bottom-margin-area;mso-width-percent:0;mso-width-relative:margin;mso-wrap-distance-bottom:3.6pt;mso-wrap-distance-left:9pt;mso-wrap-distance-right:9pt;mso-wrap-distance-top:3.6pt;position:absolute;width:769.61pt;z-index:-251658240" fillcolor="white" stroked="f" strokeweight="0.75pt">
                <v:stroke joinstyle="miter"/>
                <v:textbox>
                  <w:txbxContent>
                    <w:p w:rsidR="00B33DA4" w:rsidP="00B33DA4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Leanne Stone (School Principal) on 26 February, 2020 at 03:08 PM</w:t>
                        <w:br/>
                        <w:t>Endorsed by Andrew Ough (Senior Education Improvement Leader) on 28 February, 2020 at 11:26 AM</w:t>
                        <w:br/>
                        <w:t>Awaiting endorsement by School Council President</w:t>
                        <w:br/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:rsidR="00B33DA4" w:rsidP="00B33DA4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:rsidR="00B33DA4" w:rsidRPr="00EC3968" w:rsidP="00B33DA4">
      <w:pPr>
        <w:ind w:left="540" w:right="1878"/>
        <w:rPr>
          <w:color w:val="AF272F"/>
          <w:sz w:val="22"/>
          <w:szCs w:val="36"/>
        </w:rPr>
      </w:pPr>
    </w:p>
    <w:p w:rsidR="00B33DA4" w:rsidRPr="00EC3968" w:rsidP="00B33DA4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Underbool Primary School (3819)</w:t>
      </w: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IntroParagraph"/>
        <w:ind w:left="-567" w:right="4330" w:firstLine="1107"/>
        <w:rPr>
          <w:color w:val="AF272F"/>
        </w:rPr>
      </w:pPr>
    </w:p>
    <w:p w:rsidR="00B33DA4" w:rsidP="00B33DA4">
      <w:pPr>
        <w:pStyle w:val="ESBodyText"/>
      </w:pPr>
    </w:p>
    <w:p w:rsidR="00B33DA4" w:rsidP="00B33DA4">
      <w:pPr>
        <w:pStyle w:val="ESBodyText"/>
        <w:jc w:val="center"/>
      </w:pPr>
      <w:r>
        <w:rPr>
          <w:noProof/>
          <w:sz w:val="44"/>
          <w:szCs w:val="44"/>
        </w:rPr>
        <w:drawing>
          <wp:anchor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3810532" cy="2734057"/>
            <wp:wrapNone/>
            <wp:docPr id="10001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2734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3DA4" w:rsidP="00B33DA4">
      <w:pPr>
        <w:pStyle w:val="ESBodyText"/>
      </w:pPr>
    </w:p>
    <w:p w:rsidR="00C703C5" w:rsidP="00F83BD4">
      <w:pPr>
        <w:ind w:right="2759"/>
        <w:sectPr w:rsidSect="00B33DA4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  <w:bookmarkStart w:id="0" w:name="_GoBack"/>
      <w:bookmarkEnd w:id="0"/>
    </w:p>
    <w:p w:rsidR="006307C3" w:rsidRPr="009D30BB" w:rsidP="005157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t>Self-evaluation Summary</w:t>
      </w:r>
      <w:r w:rsidRPr="009D30BB">
        <w:rPr>
          <w:b/>
          <w:color w:val="AF272F"/>
          <w:sz w:val="36"/>
          <w:szCs w:val="44"/>
        </w:rPr>
        <w:t xml:space="preserve"> - </w:t>
      </w:r>
      <w:r w:rsidRPr="009D30BB">
        <w:rPr>
          <w:b/>
          <w:noProof/>
          <w:color w:val="AF272F"/>
          <w:sz w:val="36"/>
          <w:szCs w:val="44"/>
        </w:rPr>
        <w:t>2020</w:t>
      </w:r>
    </w:p>
    <w:p w:rsidR="00C703C5" w:rsidRPr="00F266EF" w:rsidP="00715EBF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595"/>
        <w:gridCol w:w="250"/>
        <w:gridCol w:w="6255"/>
        <w:gridCol w:w="7020"/>
      </w:tblGrid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:rsidR="007A6022" w:rsidRPr="000F7465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:rsidR="007A6022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:rsidR="007A6022" w:rsidRPr="000F7465" w:rsidP="000F7465">
            <w:pPr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>The 6 High-impact Improvement Initiatives are highlighted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7A6022" w:rsidRPr="000F7465" w:rsidP="000F7465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:rsidR="007A6022" w:rsidRPr="00DD4A39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:rsidR="007A6022" w:rsidRPr="00650A99" w:rsidP="00581393">
            <w:pPr>
              <w:pStyle w:val="ESBodyTex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P="00581393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:rsidR="007A6022" w:rsidRPr="00715EBF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7A6022" w:rsidRPr="00715EBF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P="00581393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Curriculum planning and assessment</w:t>
            </w:r>
          </w:p>
        </w:tc>
        <w:tc>
          <w:tcPr>
            <w:tcW w:w="7020" w:type="dxa"/>
          </w:tcPr>
          <w:p w:rsidR="007A6022" w:rsidRPr="00715EBF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P="00581393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:rsidR="007A6022" w:rsidRPr="00715EBF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7A6022" w:rsidRPr="00650A99" w:rsidP="0058139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7A6022" w:rsidRPr="00715EBF" w:rsidP="0058139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7A6022" w:rsidRPr="00715EBF" w:rsidP="00581393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Evaluating impact on learning</w:t>
            </w:r>
          </w:p>
        </w:tc>
        <w:tc>
          <w:tcPr>
            <w:tcW w:w="7020" w:type="dxa"/>
          </w:tcPr>
          <w:p w:rsidR="007A6022" w:rsidRPr="00715EBF" w:rsidP="0058139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</w:t>
            </w:r>
          </w:p>
        </w:tc>
      </w:tr>
    </w:tbl>
    <w:p w:rsidR="006307C3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530"/>
        <w:gridCol w:w="292"/>
        <w:gridCol w:w="6278"/>
        <w:gridCol w:w="7020"/>
      </w:tblGrid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:rsidR="007A6022" w:rsidRPr="00AB3321" w:rsidP="00E47C20">
            <w:pPr>
              <w:pStyle w:val="Heading4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:rsidR="007A6022" w:rsidRPr="00715EBF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Strategic resource management</w:t>
            </w:r>
          </w:p>
        </w:tc>
        <w:tc>
          <w:tcPr>
            <w:tcW w:w="7020" w:type="dxa"/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7A6022" w:rsidRPr="00650A99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Vision, values and culture</w:t>
            </w:r>
          </w:p>
        </w:tc>
        <w:tc>
          <w:tcPr>
            <w:tcW w:w="7020" w:type="dxa"/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530"/>
        <w:gridCol w:w="292"/>
        <w:gridCol w:w="6278"/>
        <w:gridCol w:w="7020"/>
      </w:tblGrid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:rsidR="007A6022" w:rsidRPr="00AB3321" w:rsidP="004F6D57">
            <w:pPr>
              <w:pStyle w:val="Heading4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Positive climate for learning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P="004F6D57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Empowering students and building school pride</w:t>
            </w:r>
          </w:p>
        </w:tc>
        <w:tc>
          <w:tcPr>
            <w:tcW w:w="7020" w:type="dxa"/>
          </w:tcPr>
          <w:p w:rsidR="007A6022" w:rsidRPr="00715EBF" w:rsidP="004F6D57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DC6068"/>
          </w:tcPr>
          <w:p w:rsidR="007A6022" w:rsidRPr="00715EBF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4F6D57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:rsidR="007A6022" w:rsidRPr="00715EBF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4F6D57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:rsidR="007A6022" w:rsidRPr="00715EBF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7A6022" w:rsidRPr="00650A99" w:rsidP="004F6D57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P="004F6D57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4F6D57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Intellectual engagement and self-awareness</w:t>
            </w:r>
          </w:p>
        </w:tc>
        <w:tc>
          <w:tcPr>
            <w:tcW w:w="7020" w:type="dxa"/>
          </w:tcPr>
          <w:p w:rsidR="007A6022" w:rsidRPr="00715EBF" w:rsidP="004F6D57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</w:tbl>
    <w:p w:rsidR="00E47C2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530"/>
        <w:gridCol w:w="292"/>
        <w:gridCol w:w="6278"/>
        <w:gridCol w:w="7020"/>
      </w:tblGrid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:rsidR="007A6022" w:rsidRPr="00AB3321" w:rsidP="00E47C20">
            <w:pPr>
              <w:pStyle w:val="Heading4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shd w:val="clear" w:color="auto" w:fill="DC6068"/>
          </w:tcPr>
          <w:p w:rsidR="007A6022" w:rsidRPr="00715EBF" w:rsidP="00EE49B9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:rsidR="007A6022" w:rsidRPr="00715EBF" w:rsidP="00EE49B9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Emerging moving towards 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Networks with schools, services and agencies</w:t>
            </w:r>
          </w:p>
        </w:tc>
        <w:tc>
          <w:tcPr>
            <w:tcW w:w="7020" w:type="dxa"/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Tr="007A602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7A6022" w:rsidRPr="00650A99" w:rsidP="00EE49B9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Parents and carers as partners</w:t>
            </w:r>
          </w:p>
        </w:tc>
        <w:tc>
          <w:tcPr>
            <w:tcW w:w="7020" w:type="dxa"/>
          </w:tcPr>
          <w:p w:rsidR="007A6022" w:rsidRPr="00715EB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</w:tbl>
    <w:p w:rsidR="00E47C20" w:rsidP="004E7357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905"/>
        <w:gridCol w:w="11215"/>
      </w:tblGrid>
      <w:tr w:rsidTr="00A8405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P="00EE49B9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:rsidR="00C703C5" w:rsidRPr="006C72C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Recent review 2019</w:t>
            </w:r>
          </w:p>
        </w:tc>
      </w:tr>
      <w:tr w:rsidTr="00A8405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C703C5" w:rsidRPr="006C72CF" w:rsidP="00E75B07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 w:rsidR="00175B96">
              <w:rPr>
                <w:b/>
                <w:noProof/>
                <w:sz w:val="20"/>
                <w:szCs w:val="20"/>
              </w:rPr>
              <w:t>2020</w:t>
            </w:r>
          </w:p>
        </w:tc>
        <w:tc>
          <w:tcPr>
            <w:tcW w:w="11215" w:type="dxa"/>
          </w:tcPr>
          <w:p w:rsidR="00C703C5" w:rsidRPr="006C72CF" w:rsidP="00EE49B9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Recent review 2019</w:t>
            </w:r>
          </w:p>
        </w:tc>
      </w:tr>
      <w:tr w:rsidTr="00A84052">
        <w:tblPrEx>
          <w:tblW w:w="1512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687FB5" w:rsidRPr="006C72CF" w:rsidP="00687FB5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t>Documents that support this plan</w:t>
            </w:r>
          </w:p>
        </w:tc>
        <w:tc>
          <w:tcPr>
            <w:tcW w:w="11215" w:type="dxa"/>
          </w:tcPr>
          <w:p w:rsidR="00687FB5" w:rsidRPr="006C72CF" w:rsidP="00EE49B9">
            <w:pPr>
              <w:pStyle w:val="ESBodyText"/>
              <w:rPr>
                <w:sz w:val="20"/>
              </w:rPr>
            </w:pPr>
          </w:p>
        </w:tc>
      </w:tr>
    </w:tbl>
    <w:p w:rsidR="00C703C5" w:rsidP="004E7357">
      <w:pPr>
        <w:pStyle w:val="ESBodyText"/>
        <w:sectPr w:rsidSect="00120B7B">
          <w:headerReference w:type="even" r:id="rId14"/>
          <w:headerReference w:type="default" r:id="rId15"/>
          <w:footerReference w:type="default" r:id="rId16"/>
          <w:headerReference w:type="first" r:id="rId17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BF76C7" w:rsidRPr="00242590" w:rsidP="00BF76C7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t>SSP Goals Target</w:t>
      </w:r>
      <w:r w:rsidRPr="00242590" w:rsidR="00D939C4">
        <w:rPr>
          <w:b/>
          <w:color w:val="AF272F"/>
          <w:sz w:val="32"/>
          <w:szCs w:val="32"/>
        </w:rPr>
        <w:t>s</w:t>
      </w:r>
      <w:r w:rsidRPr="00242590">
        <w:rPr>
          <w:b/>
          <w:color w:val="AF272F"/>
          <w:sz w:val="32"/>
          <w:szCs w:val="32"/>
        </w:rPr>
        <w:t xml:space="preserve"> and KIS </w:t>
      </w:r>
    </w:p>
    <w:p w:rsidR="0038585D" w:rsidRPr="00864EAA" w:rsidP="00A20DEB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15115" w:type="dxa"/>
        <w:tblInd w:w="-450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4055"/>
        <w:gridCol w:w="11060"/>
      </w:tblGrid>
      <w:tr w:rsidTr="00AF716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8A05A5" w:rsidRPr="001C2589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b/>
                <w:sz w:val="24"/>
                <w:szCs w:val="24"/>
              </w:rPr>
              <w:t>Goal 1</w:t>
            </w:r>
          </w:p>
        </w:tc>
        <w:tc>
          <w:tcPr>
            <w:tcW w:w="11060" w:type="dxa"/>
            <w:shd w:val="clear" w:color="auto" w:fill="FFFFFF" w:themeFill="background1"/>
            <w:noWrap w:val="0"/>
          </w:tcPr>
          <w:p w:rsidR="008A05A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the learning growth and achievement of every student in literacy and numeracy</w:t>
            </w:r>
          </w:p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Target 1.1</w:t>
            </w:r>
          </w:p>
        </w:tc>
        <w:tc>
          <w:tcPr>
            <w:tcW w:w="11060" w:type="dxa"/>
            <w:shd w:val="clear" w:color="auto" w:fill="FFFFFF" w:themeFill="background1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Each Year 1 to 6 student assessed against the Victorian Curriculum (VC) Levels 1-10 to be at or above their age expected level of learning in each year of the SSP period for all three English modes</w:t>
            </w:r>
          </w:p>
          <w:p/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Target 1.2</w:t>
            </w:r>
          </w:p>
        </w:tc>
        <w:tc>
          <w:tcPr>
            <w:tcW w:w="11060" w:type="dxa"/>
            <w:shd w:val="clear" w:color="auto" w:fill="FFFFFF" w:themeFill="background1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Each Year 1 to 6 </w:t>
            </w:r>
            <w:r>
              <w:rPr>
                <w:rFonts w:eastAsia="Arial"/>
                <w:sz w:val="20"/>
                <w:szCs w:val="20"/>
              </w:rPr>
              <w:t>student assessed against the Victorian Curriculum (VC) Levels 1-10 to be at or above their age expected level of learning in each year of the SSP period for all three Mathematics strands</w:t>
            </w:r>
          </w:p>
          <w:p/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Target 1.3</w:t>
            </w:r>
          </w:p>
        </w:tc>
        <w:tc>
          <w:tcPr>
            <w:tcW w:w="11060" w:type="dxa"/>
            <w:shd w:val="clear" w:color="auto" w:fill="FFFFFF" w:themeFill="background1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Based on NAPLAN relative growth data, the 2021-2023 matched cohort to show at least 80 per cent of Year 5 students achieving medium to high growth in numeracy, reading and writing</w:t>
            </w:r>
          </w:p>
          <w:p/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62BFEB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Key Improvement Strategy 1.a</w:t>
            </w:r>
          </w:p>
          <w:p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11060" w:type="dxa"/>
            <w:shd w:val="clear" w:color="auto" w:fill="FFFFFF" w:themeFill="background1"/>
            <w:noWrap w:val="0"/>
          </w:tcPr>
          <w:p w:rsidR="0038585D" w:rsidRPr="00FE3D5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 agreed understanding and consistent instructional model of teaching practice</w:t>
            </w:r>
          </w:p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62BFEB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Key Improvement Strategy 1.b</w:t>
            </w:r>
          </w:p>
          <w:p>
            <w:r>
              <w:rPr>
                <w:sz w:val="20"/>
              </w:rPr>
              <w:t xml:space="preserve">Curriculum planning and assessment </w:t>
            </w:r>
          </w:p>
        </w:tc>
        <w:tc>
          <w:tcPr>
            <w:tcW w:w="11060" w:type="dxa"/>
            <w:shd w:val="clear" w:color="auto" w:fill="FFFFFF" w:themeFill="background1"/>
            <w:noWrap w:val="0"/>
          </w:tcPr>
          <w:p w:rsidR="0038585D" w:rsidRPr="00FE3D5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Further develop and embed whole school consistency of curriculum planning, delivery and assessment practices</w:t>
            </w:r>
          </w:p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62BFEB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Key Improvement Strategy 1.c</w:t>
            </w:r>
          </w:p>
          <w:p>
            <w:r>
              <w:rPr>
                <w:sz w:val="20"/>
              </w:rPr>
              <w:t xml:space="preserve">Evidence-based high-impact teaching strategies </w:t>
            </w:r>
          </w:p>
        </w:tc>
        <w:tc>
          <w:tcPr>
            <w:tcW w:w="11060" w:type="dxa"/>
            <w:shd w:val="clear" w:color="auto" w:fill="FFFFFF" w:themeFill="background1"/>
            <w:noWrap w:val="0"/>
          </w:tcPr>
          <w:p w:rsidR="0038585D" w:rsidRPr="00FE3D5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to enhance data literacy practices in the analysis of student data to inform teaching and learning</w:t>
            </w:r>
          </w:p>
        </w:tc>
      </w:tr>
      <w:tr w:rsidTr="00AF716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8A05A5" w:rsidRPr="001C2589" w:rsidP="00994A0F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b/>
                <w:sz w:val="24"/>
                <w:szCs w:val="24"/>
              </w:rPr>
              <w:t>Goal 2</w:t>
            </w:r>
          </w:p>
        </w:tc>
        <w:tc>
          <w:tcPr>
            <w:tcW w:w="11060" w:type="dxa"/>
            <w:shd w:val="clear" w:color="auto" w:fill="FFFFFF" w:themeFill="background1"/>
            <w:noWrap w:val="0"/>
          </w:tcPr>
          <w:p w:rsidR="008A05A5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student engagement in their learning</w:t>
            </w:r>
          </w:p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Target 2.1</w:t>
            </w:r>
          </w:p>
        </w:tc>
        <w:tc>
          <w:tcPr>
            <w:tcW w:w="11060" w:type="dxa"/>
            <w:shd w:val="clear" w:color="auto" w:fill="FFFFFF" w:themeFill="background1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2023, the percentage of students responding positively to the </w:t>
            </w:r>
            <w:r>
              <w:rPr>
                <w:rFonts w:eastAsia="Arial"/>
                <w:sz w:val="20"/>
                <w:szCs w:val="20"/>
              </w:rPr>
              <w:t>Student voice and agency factor (AtoSS) will be at or above 86 per cent</w:t>
            </w:r>
          </w:p>
          <w:p/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Target 2.2</w:t>
            </w:r>
          </w:p>
        </w:tc>
        <w:tc>
          <w:tcPr>
            <w:tcW w:w="11060" w:type="dxa"/>
            <w:shd w:val="clear" w:color="auto" w:fill="FFFFFF" w:themeFill="background1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the percentage of parents responding positively to the Student agency and voice factor (POS) will be at or above 86 per cent.</w:t>
            </w:r>
          </w:p>
          <w:p/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Target 2.3</w:t>
            </w:r>
          </w:p>
        </w:tc>
        <w:tc>
          <w:tcPr>
            <w:tcW w:w="11060" w:type="dxa"/>
            <w:shd w:val="clear" w:color="auto" w:fill="FFFFFF" w:themeFill="background1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By 2023, the percentage of students responding positively to the Stimulating learning factor (AtoSS) will be at or above 71 per cent.</w:t>
            </w:r>
          </w:p>
          <w:p/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Target 2.4</w:t>
            </w:r>
          </w:p>
        </w:tc>
        <w:tc>
          <w:tcPr>
            <w:tcW w:w="11060" w:type="dxa"/>
            <w:shd w:val="clear" w:color="auto" w:fill="FFFFFF" w:themeFill="background1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the percentage of students responding positively to the Managing Bullying factor (AtoSS) will be at or above 75 per cent.</w:t>
            </w:r>
          </w:p>
          <w:p/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D9D9D9" w:themeFill="background1" w:themeFillShade="D9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Target 2.5</w:t>
            </w:r>
          </w:p>
        </w:tc>
        <w:tc>
          <w:tcPr>
            <w:tcW w:w="11060" w:type="dxa"/>
            <w:shd w:val="clear" w:color="auto" w:fill="FFFFFF" w:themeFill="background1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the percentage of parents responding positively to the Managing Bullying factor in the Parent Opinion Survey (POS) will be at or above 82 per cent</w:t>
            </w:r>
          </w:p>
          <w:p/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auto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Key Improvement Strategy 2.a</w:t>
            </w:r>
          </w:p>
          <w:p>
            <w:r>
              <w:rPr>
                <w:sz w:val="20"/>
              </w:rPr>
              <w:t xml:space="preserve">Empowering students and building school pride </w:t>
            </w:r>
          </w:p>
        </w:tc>
        <w:tc>
          <w:tcPr>
            <w:tcW w:w="11060" w:type="dxa"/>
            <w:shd w:val="clear" w:color="auto" w:fill="FFFFFF" w:themeFill="background1"/>
            <w:noWrap w:val="0"/>
          </w:tcPr>
          <w:p w:rsidR="0038585D" w:rsidRPr="00FE3D5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embed a consistent whole school approach to ensure student voice and agency is explicit in their learning</w:t>
            </w:r>
          </w:p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auto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Key Improvement Strategy 2.b</w:t>
            </w:r>
          </w:p>
          <w:p>
            <w:r>
              <w:rPr>
                <w:sz w:val="20"/>
              </w:rPr>
              <w:t xml:space="preserve">Intellectual engagement and self-awareness </w:t>
            </w:r>
          </w:p>
        </w:tc>
        <w:tc>
          <w:tcPr>
            <w:tcW w:w="11060" w:type="dxa"/>
            <w:shd w:val="clear" w:color="auto" w:fill="FFFFFF" w:themeFill="background1"/>
            <w:noWrap w:val="0"/>
          </w:tcPr>
          <w:p w:rsidR="0038585D" w:rsidRPr="00FE3D5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Provide a differentiated learning program that engages and motivates students</w:t>
            </w:r>
          </w:p>
        </w:tc>
      </w:tr>
      <w:tr w:rsidTr="0063348B">
        <w:tblPrEx>
          <w:tblW w:w="15115" w:type="dxa"/>
          <w:tblInd w:w="-450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4055" w:type="dxa"/>
            <w:shd w:val="clear" w:color="auto" w:fill="auto"/>
            <w:noWrap w:val="0"/>
          </w:tcPr>
          <w:p w:rsidR="0038585D" w:rsidP="00994A0F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 w:val="20"/>
                <w:szCs w:val="20"/>
              </w:rPr>
              <w:t>Key Improvement Strategy 2.c</w:t>
            </w:r>
          </w:p>
          <w:p>
            <w:r>
              <w:rPr>
                <w:sz w:val="20"/>
              </w:rPr>
              <w:t xml:space="preserve">Health and wellbeing </w:t>
            </w:r>
          </w:p>
        </w:tc>
        <w:tc>
          <w:tcPr>
            <w:tcW w:w="11060" w:type="dxa"/>
            <w:shd w:val="clear" w:color="auto" w:fill="FFFFFF" w:themeFill="background1"/>
            <w:noWrap w:val="0"/>
          </w:tcPr>
          <w:p w:rsidR="0038585D" w:rsidRPr="00FE3D5C" w:rsidP="00994A0F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Review, develop, implement and monitor consistent whole school student wellbeing approaches</w:t>
            </w:r>
          </w:p>
        </w:tc>
      </w:tr>
    </w:tbl>
    <w:p w:rsidR="005E684F" w:rsidRPr="00FA10DB" w:rsidP="005E684F">
      <w:pPr>
        <w:ind w:right="-632"/>
        <w:rPr>
          <w:b/>
          <w:color w:val="AF272F"/>
          <w:sz w:val="36"/>
          <w:szCs w:val="44"/>
        </w:rPr>
      </w:pPr>
    </w:p>
    <w:p/>
    <w:p>
      <w:pPr>
        <w:sectPr w:rsidSect="00124BF1">
          <w:headerReference w:type="even" r:id="rId18"/>
          <w:headerReference w:type="default" r:id="rId19"/>
          <w:footerReference w:type="default" r:id="rId20"/>
          <w:headerReference w:type="first" r:id="rId21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145C6B" w:rsidRPr="001C76FB" w:rsidP="00CC45E0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t>Select Annual Goals and KIS</w:t>
      </w:r>
    </w:p>
    <w:p w:rsidR="004B6AD4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589"/>
        <w:gridCol w:w="1457"/>
        <w:gridCol w:w="6219"/>
        <w:gridCol w:w="3945"/>
      </w:tblGrid>
      <w:tr w:rsidTr="000100BE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783"/>
        </w:trPr>
        <w:tc>
          <w:tcPr>
            <w:tcW w:w="3589" w:type="dxa"/>
            <w:shd w:val="clear" w:color="auto" w:fill="D9D9D9" w:themeFill="background1" w:themeFillShade="D9"/>
          </w:tcPr>
          <w:p w:rsidR="00B06A30" w:rsidRPr="00AC7B7B" w:rsidP="00DA66C8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B06A30" w:rsidP="00B06A30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B06A30" w:rsidRPr="00AC7B7B" w:rsidP="00DA66C8">
            <w:pPr>
              <w:pStyle w:val="Heading3"/>
              <w:spacing w:before="100" w:beforeAutospacing="1" w:after="0"/>
            </w:pPr>
          </w:p>
        </w:tc>
        <w:tc>
          <w:tcPr>
            <w:tcW w:w="6219" w:type="dxa"/>
            <w:shd w:val="clear" w:color="auto" w:fill="D9D9D9" w:themeFill="background1" w:themeFillShade="D9"/>
          </w:tcPr>
          <w:p w:rsidR="00B06A30" w:rsidRPr="00DA66C8" w:rsidP="00DA66C8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3945" w:type="dxa"/>
            <w:shd w:val="clear" w:color="auto" w:fill="D9D9D9" w:themeFill="background1" w:themeFillShade="D9"/>
          </w:tcPr>
          <w:p w:rsidR="00B06A30" w:rsidP="00DA66C8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B06A30" w:rsidRPr="00B06A30" w:rsidP="00DA66C8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The 12 month target is an incremental step towards meeting the 4-year target, using the same data set.</w:t>
            </w:r>
          </w:p>
        </w:tc>
      </w:tr>
      <w:tr w:rsidTr="000F3492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83"/>
        </w:trPr>
        <w:tc>
          <w:tcPr>
            <w:tcW w:w="3589" w:type="dxa"/>
            <w:vMerge w:val="restart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To improve the learning growth and achievement of every student in literacy and numeracy</w:t>
            </w:r>
          </w:p>
        </w:tc>
        <w:tc>
          <w:tcPr>
            <w:tcW w:w="1457" w:type="dxa"/>
            <w:vMerge w:val="restart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Each Year 1 to 6 student assessed against the Victorian Curriculum (VC) Levels 1-10 to be at or above their age expected level of learning in each year of the SSP period for all three English modes</w:t>
            </w:r>
          </w:p>
          <w:p/>
        </w:tc>
        <w:tc>
          <w:tcPr>
            <w:tcW w:w="3945" w:type="dxa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Each Year 1 to 6 student assessed against the Victorian Curriculum (VC) Levels 1-10 to be at or above their age expected level of learning in each year of the SSP period for Reading</w:t>
              <w:br/>
            </w:r>
          </w:p>
        </w:tc>
      </w:tr>
      <w:tr w:rsidTr="000F3492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83"/>
        </w:trPr>
        <w:tc>
          <w:tcPr>
            <w:tcW w:w="3589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Each Year 1 to 6 </w:t>
            </w:r>
            <w:r>
              <w:rPr>
                <w:rFonts w:eastAsia="Arial"/>
                <w:sz w:val="20"/>
                <w:szCs w:val="20"/>
              </w:rPr>
              <w:t>student assessed against the Victorian Curriculum (VC) Levels 1-10 to be at or above their age expected level of learning in each year of the SSP period for all three Mathematics strands</w:t>
            </w:r>
          </w:p>
          <w:p/>
        </w:tc>
        <w:tc>
          <w:tcPr>
            <w:tcW w:w="3945" w:type="dxa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Each Year 1 to 6 student assessed against the Victorian Curriculum (VC) Levels 1-10 to be at or above their age expected level of learning in each year of the SSP period for all three Mathematics strands</w:t>
              <w:br/>
            </w:r>
          </w:p>
        </w:tc>
      </w:tr>
      <w:tr w:rsidTr="000F3492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83"/>
        </w:trPr>
        <w:tc>
          <w:tcPr>
            <w:tcW w:w="3589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Based on NAPLAN relative growth data, the 2021-2023 matched cohort to show at least 80 per cent of Year 5 students achieving medium to high growth in numeracy, reading and writing</w:t>
            </w:r>
          </w:p>
          <w:p/>
        </w:tc>
        <w:tc>
          <w:tcPr>
            <w:tcW w:w="3945" w:type="dxa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Based on NAPLAN relative growth data, the 2021-2023 matched cohort to show at least 80 per cent of Year 5 students achieving medium to high growth in numeracy, reading and writing</w:t>
              <w:br/>
            </w:r>
          </w:p>
        </w:tc>
      </w:tr>
      <w:tr w:rsidTr="000F3492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83"/>
        </w:trPr>
        <w:tc>
          <w:tcPr>
            <w:tcW w:w="3589" w:type="dxa"/>
            <w:vMerge w:val="restart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To improve student engagement in their learning</w:t>
            </w:r>
          </w:p>
        </w:tc>
        <w:tc>
          <w:tcPr>
            <w:tcW w:w="1457" w:type="dxa"/>
            <w:vMerge w:val="restart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6219" w:type="dxa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 xml:space="preserve">By 2023, the percentage of students responding positively to the </w:t>
            </w:r>
            <w:r>
              <w:rPr>
                <w:rFonts w:eastAsia="Arial"/>
                <w:sz w:val="20"/>
                <w:szCs w:val="20"/>
              </w:rPr>
              <w:t>Student voice and agency factor (AtoSS) will be at or above 86 per cent</w:t>
            </w:r>
          </w:p>
          <w:p/>
        </w:tc>
        <w:tc>
          <w:tcPr>
            <w:tcW w:w="3945" w:type="dxa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By 2023, the percentage of students responding positively to the Student voice and agency factor (AtoSS) will be at or above 86 per cent</w:t>
              <w:br/>
            </w:r>
          </w:p>
        </w:tc>
      </w:tr>
      <w:tr w:rsidTr="000F3492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83"/>
        </w:trPr>
        <w:tc>
          <w:tcPr>
            <w:tcW w:w="3589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the percentage of parents responding positively to the Student agency and voice factor (POS) will be at or above 86 per cent.</w:t>
            </w:r>
          </w:p>
          <w:p/>
        </w:tc>
        <w:tc>
          <w:tcPr>
            <w:tcW w:w="3945" w:type="dxa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NA</w:t>
            </w:r>
          </w:p>
        </w:tc>
      </w:tr>
      <w:tr w:rsidTr="000F3492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83"/>
        </w:trPr>
        <w:tc>
          <w:tcPr>
            <w:tcW w:w="3589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</w:rPr>
              <w:t>By 2023, the percentage of students responding positively to the Stimulating learning factor (AtoSS) will be at or above 71 per cent.</w:t>
            </w:r>
          </w:p>
          <w:p/>
        </w:tc>
        <w:tc>
          <w:tcPr>
            <w:tcW w:w="3945" w:type="dxa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NA</w:t>
            </w:r>
          </w:p>
        </w:tc>
      </w:tr>
      <w:tr w:rsidTr="000F3492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83"/>
        </w:trPr>
        <w:tc>
          <w:tcPr>
            <w:tcW w:w="3589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the percentage of students responding positively to the Managing Bullying factor (AtoSS) will be at or above 75 per cent.</w:t>
            </w:r>
          </w:p>
          <w:p/>
        </w:tc>
        <w:tc>
          <w:tcPr>
            <w:tcW w:w="3945" w:type="dxa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NA</w:t>
            </w:r>
          </w:p>
        </w:tc>
      </w:tr>
      <w:tr w:rsidTr="000F3492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83"/>
        </w:trPr>
        <w:tc>
          <w:tcPr>
            <w:tcW w:w="3589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1457" w:type="dxa"/>
            <w:vMerge/>
          </w:tcPr>
          <w:p w:rsidR="00B06A30" w:rsidRPr="00BB23C7" w:rsidP="00BB23C7">
            <w:pPr>
              <w:pStyle w:val="ESBodyText"/>
              <w:spacing w:after="0"/>
            </w:pPr>
          </w:p>
        </w:tc>
        <w:tc>
          <w:tcPr>
            <w:tcW w:w="6219" w:type="dxa"/>
          </w:tcPr>
          <w:p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Arial"/>
                <w:sz w:val="20"/>
                <w:szCs w:val="20"/>
              </w:rPr>
              <w:t>By 2023, the percentage of parents responding positively to the Managing Bullying factor in the Parent Opinion Survey (POS) will be at or above 82 per cent</w:t>
            </w:r>
          </w:p>
          <w:p/>
        </w:tc>
        <w:tc>
          <w:tcPr>
            <w:tcW w:w="3945" w:type="dxa"/>
            <w:noWrap w:val="0"/>
          </w:tcPr>
          <w:p w:rsidR="00B06A30" w:rsidRPr="00BB23C7" w:rsidP="00BB23C7">
            <w:pPr>
              <w:pStyle w:val="ESBodyText"/>
              <w:spacing w:after="0"/>
            </w:pPr>
            <w:r>
              <w:rPr>
                <w:sz w:val="20"/>
              </w:rPr>
              <w:t>NA</w:t>
            </w:r>
          </w:p>
        </w:tc>
      </w:tr>
    </w:tbl>
    <w:p w:rsidR="003E4341" w:rsidP="00BB23C7">
      <w:pPr>
        <w:pStyle w:val="ESBodyText"/>
        <w:spacing w:after="0"/>
      </w:pPr>
    </w:p>
    <w:p w:rsidR="00973DEE" w:rsidP="004B6AD4">
      <w:pPr>
        <w:pStyle w:val="ESBodyText"/>
      </w:pPr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772"/>
        <w:gridCol w:w="8250"/>
        <w:gridCol w:w="3188"/>
      </w:tblGrid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18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AC7B7B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b/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improve the learning growth and achievement of every student in literacy and numeracy</w:t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DB56D4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 w:val="20"/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Each Year 1 to 6 student assessed against the Victorian Curriculum (VC) Levels 1-10 to be at or above their age expected level of learning in each year of the SSP period for Reading</w:t>
              <w:br/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DB56D4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 w:val="20"/>
                <w:szCs w:val="24"/>
              </w:rPr>
              <w:t>12 Month Target 1.2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Each Year 1 to 6 student assessed against the Victorian Curriculum (VC) Levels 1-10 to be at or above their age expected level of learning in each year of the SSP period for all three Mathematics strands</w:t>
              <w:br/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DB56D4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 w:val="20"/>
                <w:szCs w:val="24"/>
              </w:rPr>
              <w:t>12 Month Target 1.3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Based on NAPLAN relative growth data, the 2021-2023 matched cohort to show at least 80 per cent of Year 5 students achieving medium to high growth in numeracy, reading and writing</w:t>
              <w:br/>
            </w:r>
          </w:p>
        </w:tc>
      </w:tr>
      <w:tr w:rsidTr="00A800BE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Tr="00CE0F0F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76"/>
        </w:trPr>
        <w:tc>
          <w:tcPr>
            <w:tcW w:w="3772" w:type="dxa"/>
            <w:shd w:val="clear" w:color="auto" w:fill="62BFEB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>
            <w:r>
              <w:rPr>
                <w:sz w:val="20"/>
              </w:rPr>
              <w:t>Building practice excellence</w:t>
            </w:r>
          </w:p>
        </w:tc>
        <w:tc>
          <w:tcPr>
            <w:tcW w:w="8250" w:type="dxa"/>
            <w:shd w:val="clear" w:color="auto" w:fill="62BFEB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Develop an agreed understanding and consistent instructional model of teaching practice</w:t>
            </w:r>
          </w:p>
        </w:tc>
        <w:tc>
          <w:tcPr>
            <w:tcW w:w="3188" w:type="dxa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Tr="00CE0F0F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76"/>
        </w:trPr>
        <w:tc>
          <w:tcPr>
            <w:tcW w:w="3772" w:type="dxa"/>
            <w:shd w:val="clear" w:color="auto" w:fill="62BFEB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>
            <w:r>
              <w:rPr>
                <w:sz w:val="20"/>
              </w:rPr>
              <w:t>Curriculum planning and assessment</w:t>
            </w:r>
          </w:p>
        </w:tc>
        <w:tc>
          <w:tcPr>
            <w:tcW w:w="8250" w:type="dxa"/>
            <w:shd w:val="clear" w:color="auto" w:fill="62BFEB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Further develop and embed whole school consistency of curriculum planning, delivery and assessment practices</w:t>
            </w:r>
          </w:p>
        </w:tc>
        <w:tc>
          <w:tcPr>
            <w:tcW w:w="3188" w:type="dxa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Tr="00CE0F0F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76"/>
        </w:trPr>
        <w:tc>
          <w:tcPr>
            <w:tcW w:w="3772" w:type="dxa"/>
            <w:shd w:val="clear" w:color="auto" w:fill="62BFEB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3</w:t>
            </w:r>
          </w:p>
          <w:p>
            <w:r>
              <w:rPr>
                <w:sz w:val="20"/>
              </w:rPr>
              <w:t>Evidence-based high-impact teaching strategies</w:t>
            </w:r>
          </w:p>
        </w:tc>
        <w:tc>
          <w:tcPr>
            <w:tcW w:w="8250" w:type="dxa"/>
            <w:shd w:val="clear" w:color="auto" w:fill="62BFEB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Build teacher capacity to enhance data literacy practices in the analysis of student data to inform teaching and learning</w:t>
            </w:r>
          </w:p>
        </w:tc>
        <w:tc>
          <w:tcPr>
            <w:tcW w:w="3188" w:type="dxa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Tr="0001315D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  <w:noWrap w:val="0"/>
          </w:tcPr>
          <w:p w:rsidR="00BD3D7C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As per Review Report</w:t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18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AC7B7B" w:rsidP="00DA66C8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b/>
                <w:sz w:val="24"/>
              </w:rPr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improve student engagement in their learning</w:t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DB56D4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 w:val="20"/>
                <w:szCs w:val="24"/>
              </w:rPr>
              <w:t>12 Month Target 2.1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By 2023, the percentage of students responding positively to the Student voice and agency factor (AtoSS) will be at or above 86 per cent</w:t>
              <w:br/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DB56D4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 w:val="20"/>
                <w:szCs w:val="24"/>
              </w:rPr>
              <w:t>12 Month Target 2.2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NA</w:t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DB56D4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 w:val="20"/>
                <w:szCs w:val="24"/>
              </w:rPr>
              <w:t>12 Month Target 2.3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NA</w:t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DB56D4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 w:val="20"/>
                <w:szCs w:val="24"/>
              </w:rPr>
              <w:t>12 Month Target 2.4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NA</w:t>
            </w:r>
          </w:p>
        </w:tc>
      </w:tr>
      <w:tr w:rsidTr="00DA66C8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772" w:type="dxa"/>
            <w:shd w:val="clear" w:color="auto" w:fill="D9D9D9" w:themeFill="background1" w:themeFillShade="D9"/>
            <w:noWrap w:val="0"/>
          </w:tcPr>
          <w:p w:rsidR="00973DEE" w:rsidRPr="00DB56D4" w:rsidP="00DA66C8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 w:val="20"/>
                <w:szCs w:val="24"/>
              </w:rPr>
              <w:t>12 Month Target 2.5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  <w:noWrap w:val="0"/>
          </w:tcPr>
          <w:p w:rsidR="00973DEE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NA</w:t>
            </w:r>
          </w:p>
        </w:tc>
      </w:tr>
      <w:tr w:rsidTr="00A800BE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DB56D4" w:rsidRPr="00BD3D7C" w:rsidP="00BB23C7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DB56D4" w:rsidRPr="00BD3D7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Tr="00CE0F0F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76"/>
        </w:trPr>
        <w:tc>
          <w:tcPr>
            <w:tcW w:w="3772" w:type="dxa"/>
            <w:shd w:val="clear" w:color="auto" w:fill="auto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>
            <w:r>
              <w:rPr>
                <w:sz w:val="20"/>
              </w:rPr>
              <w:t>Empowering students and building school pride</w:t>
            </w:r>
          </w:p>
        </w:tc>
        <w:tc>
          <w:tcPr>
            <w:tcW w:w="8250" w:type="dxa"/>
            <w:shd w:val="clear" w:color="auto" w:fill="auto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Develop and embed a consistent whole school approach to ensure student voice and agency is explicit in their learning</w:t>
            </w:r>
          </w:p>
        </w:tc>
        <w:tc>
          <w:tcPr>
            <w:tcW w:w="3188" w:type="dxa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Tr="00CE0F0F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76"/>
        </w:trPr>
        <w:tc>
          <w:tcPr>
            <w:tcW w:w="3772" w:type="dxa"/>
            <w:shd w:val="clear" w:color="auto" w:fill="auto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2</w:t>
            </w:r>
          </w:p>
          <w:p>
            <w:r>
              <w:rPr>
                <w:sz w:val="20"/>
              </w:rPr>
              <w:t>Intellectual engagement and self-awareness</w:t>
            </w:r>
          </w:p>
        </w:tc>
        <w:tc>
          <w:tcPr>
            <w:tcW w:w="8250" w:type="dxa"/>
            <w:shd w:val="clear" w:color="auto" w:fill="auto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Provide a differentiated learning program that engages and motivates students</w:t>
            </w:r>
          </w:p>
        </w:tc>
        <w:tc>
          <w:tcPr>
            <w:tcW w:w="3188" w:type="dxa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Tr="00CE0F0F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76"/>
        </w:trPr>
        <w:tc>
          <w:tcPr>
            <w:tcW w:w="3772" w:type="dxa"/>
            <w:shd w:val="clear" w:color="auto" w:fill="auto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3</w:t>
            </w:r>
          </w:p>
          <w:p>
            <w:r>
              <w:rPr>
                <w:sz w:val="20"/>
              </w:rPr>
              <w:t>Health and wellbeing</w:t>
            </w:r>
          </w:p>
        </w:tc>
        <w:tc>
          <w:tcPr>
            <w:tcW w:w="8250" w:type="dxa"/>
            <w:shd w:val="clear" w:color="auto" w:fill="auto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Review, develop, implement and monitor consistent whole school student wellbeing approaches</w:t>
            </w:r>
          </w:p>
        </w:tc>
        <w:tc>
          <w:tcPr>
            <w:tcW w:w="3188" w:type="dxa"/>
            <w:noWrap w:val="0"/>
          </w:tcPr>
          <w:p w:rsidR="00DB56D4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No</w:t>
            </w:r>
          </w:p>
        </w:tc>
      </w:tr>
      <w:tr w:rsidTr="0001315D">
        <w:tblPrEx>
          <w:tblW w:w="15210" w:type="dxa"/>
          <w:tblInd w:w="-54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BD3D7C" w:rsidRPr="00BD3D7C" w:rsidP="00BB23C7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  <w:noWrap w:val="0"/>
          </w:tcPr>
          <w:p w:rsidR="00BD3D7C" w:rsidRPr="00D43286" w:rsidP="00BB23C7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As per Review Report</w:t>
            </w:r>
          </w:p>
        </w:tc>
      </w:tr>
    </w:tbl>
    <w:p w:rsidR="000A423E" w:rsidP="004E7357">
      <w:pPr>
        <w:pStyle w:val="ESBodyText"/>
      </w:pPr>
    </w:p>
    <w:p/>
    <w:p>
      <w:pPr>
        <w:sectPr w:rsidSect="001C3D92">
          <w:headerReference w:type="even" r:id="rId22"/>
          <w:headerReference w:type="default" r:id="rId23"/>
          <w:footerReference w:type="default" r:id="rId24"/>
          <w:headerReference w:type="first" r:id="rId25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307C3" w:rsidRPr="00ED5CB1" w:rsidP="006C7A56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t xml:space="preserve">Define </w:t>
      </w:r>
      <w:r w:rsidRPr="00ED5CB1" w:rsidR="00510C5D">
        <w:rPr>
          <w:b/>
          <w:color w:val="AF272F"/>
          <w:sz w:val="32"/>
          <w:szCs w:val="32"/>
        </w:rPr>
        <w:t>Actions, Outcomes and</w:t>
      </w:r>
      <w:r w:rsidRPr="00ED5CB1" w:rsidR="008846DA">
        <w:rPr>
          <w:b/>
          <w:color w:val="AF272F"/>
          <w:sz w:val="32"/>
          <w:szCs w:val="32"/>
        </w:rPr>
        <w:t xml:space="preserve"> </w:t>
      </w:r>
      <w:r w:rsidRPr="00ED5CB1" w:rsidR="00ED5CB1">
        <w:rPr>
          <w:b/>
          <w:color w:val="AF272F"/>
          <w:sz w:val="32"/>
          <w:szCs w:val="32"/>
        </w:rPr>
        <w:t>Activities</w:t>
      </w:r>
    </w:p>
    <w:p w:rsidR="005539D1" w:rsidRPr="002B37FA" w:rsidP="00C259B6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3119"/>
        <w:gridCol w:w="3086"/>
        <w:gridCol w:w="3150"/>
        <w:gridCol w:w="1530"/>
        <w:gridCol w:w="2070"/>
        <w:gridCol w:w="2160"/>
      </w:tblGrid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b/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the learning growth and achievement of every student in literacy and numeracy</w:t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0"/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Each Year 1 to 6 student assessed against the Victorian Curriculum (VC) Levels 1-10 to be at or above their age expected level of learning in each year of the SSP period for Reading</w:t>
              <w:br/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0"/>
                <w:szCs w:val="24"/>
              </w:rPr>
              <w:t>12 Month Target 1.2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Each Year 1 to 6 student assessed against the Victorian Curriculum (VC) Levels 1-10 to be at or above their age expected level of learning in each year of the SSP period for all three Mathematics strands</w:t>
              <w:br/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0"/>
                <w:szCs w:val="24"/>
              </w:rPr>
              <w:t>12 Month Target 1.3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Based on NAPLAN relative growth data, the 2021-2023 matched cohort to show at least 80 per cent of Year 5 students achieving medium to high growth in numeracy, reading and writing</w:t>
              <w:br/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62BFEB"/>
            <w:noWrap w:val="0"/>
          </w:tcPr>
          <w:p w:rsidR="00973DEE" w:rsidRPr="006C7A56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 w:val="20"/>
                <w:szCs w:val="24"/>
              </w:rPr>
              <w:t>KIS 1</w:t>
            </w:r>
          </w:p>
          <w:p>
            <w:r>
              <w:rPr>
                <w:sz w:val="20"/>
              </w:rPr>
              <w:t>Curriculum planning and assessment</w:t>
            </w:r>
          </w:p>
        </w:tc>
        <w:tc>
          <w:tcPr>
            <w:tcW w:w="11996" w:type="dxa"/>
            <w:gridSpan w:val="5"/>
            <w:shd w:val="clear" w:color="auto" w:fill="62BFEB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Further develop and embed whole school consistency of curriculum planning, delivery and assessment practices</w:t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Coconstruct whole school planning documents. Term plans developed in four week blocks for Senior, Middle and Junior year levels. </w:t>
              <w:br/>
              <w:t xml:space="preserve">Work collaboratively as a staff to develop the content of the curriculum delivered and the Assessment practices that will be used to obtain data sets in Reading and Numeracy. </w:t>
              <w:br/>
              <w:br/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  <w:noWrap w:val="0"/>
          </w:tcPr>
          <w:p w:rsidR="00973DEE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Principal will ensure there are scheduled meetings for planning and reviewing whole school curriculum. </w:t>
              <w:br/>
              <w:t xml:space="preserve">Teachers will share teaching practice and review in four week blocks each term. </w:t>
              <w:br/>
              <w:t>Teachers will use student assessment data to determine where students are at and what their learning needs are.</w:t>
              <w:br/>
              <w:t xml:space="preserve">Coconstructed Assessment records for all students. Updated Assessmenbt Schedule as required. </w:t>
              <w:br/>
              <w:br/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  <w:noWrap w:val="0"/>
          </w:tcPr>
          <w:p w:rsidR="00171379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Consistent teaching practice and routines evident in classrooms. </w:t>
              <w:br/>
              <w:t>Whole School Curriculum planning document is designed and shared on Google drive.</w:t>
              <w:br/>
              <w:t>Staff Term plans are documented and shared on Google drive.</w:t>
              <w:br/>
              <w:t xml:space="preserve">Scheduled meetings are recorded. </w:t>
              <w:br/>
              <w:t xml:space="preserve">Students will be able to articulate what they are learning. </w:t>
              <w:br/>
              <w:t xml:space="preserve">Students will be able to articulate their individual learning goals. </w:t>
              <w:br/>
            </w:r>
          </w:p>
        </w:tc>
      </w:tr>
      <w:tr w:rsidTr="006C7A56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 w:rsidR="00103446"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Tr="00AF3BC2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6205" w:type="dxa"/>
            <w:gridSpan w:val="2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Scheduled meetings </w:t>
              <w:br/>
              <w:t xml:space="preserve">Staff PD in Reading and Numeracy </w:t>
              <w:br/>
              <w:t>Staff Curriculum days to share planning and create documentation.</w:t>
            </w:r>
          </w:p>
        </w:tc>
        <w:tc>
          <w:tcPr>
            <w:tcW w:w="3150" w:type="dxa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/>
        </w:tc>
        <w:tc>
          <w:tcPr>
            <w:tcW w:w="1530" w:type="dxa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  <w:noWrap w:val="0"/>
          </w:tcPr>
          <w:p w:rsidR="0016685E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160" w:type="dxa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$2,000.00</w:t>
            </w:r>
          </w:p>
          <w:p/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Equity funding will be used</w:t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62BFEB"/>
            <w:noWrap w:val="0"/>
          </w:tcPr>
          <w:p w:rsidR="00973DEE" w:rsidRPr="006C7A56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 w:val="20"/>
                <w:szCs w:val="24"/>
              </w:rPr>
              <w:t>KIS 2</w:t>
            </w:r>
          </w:p>
          <w:p>
            <w:r>
              <w:rPr>
                <w:sz w:val="20"/>
              </w:rPr>
              <w:t>Evidence-based high-impact teaching strategies</w:t>
            </w:r>
          </w:p>
        </w:tc>
        <w:tc>
          <w:tcPr>
            <w:tcW w:w="11996" w:type="dxa"/>
            <w:gridSpan w:val="5"/>
            <w:shd w:val="clear" w:color="auto" w:fill="62BFEB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Build teacher capacity to enhance data literacy practices in the analysis of student data to inform teaching and learning</w:t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Build Teacher capacity around the use of Essential Assessment. </w:t>
              <w:br/>
              <w:t xml:space="preserve">Teachers to implement Essential Assessment in the Numeracy Curriculum. </w:t>
              <w:br/>
              <w:t>Teachers to work with staff in the Mallee Education Cluster to develop Literacy practices in the Senior classroom around Reading.</w:t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  <w:noWrap w:val="0"/>
          </w:tcPr>
          <w:p w:rsidR="00973DEE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Teachers have a greater understanding of how to use the Essential Assessment Program in delivering the Numeracy Curriculum. </w:t>
              <w:br/>
              <w:t xml:space="preserve">Teachers are supported with the developement of Term plans and delivering the content of the Victorian curriculum in Numeracy. </w:t>
              <w:br/>
              <w:t xml:space="preserve">Students are supported with a more individualised learning program in Numeracy. </w:t>
              <w:br/>
              <w:t>Build teacher capacity in teaching reading.</w:t>
              <w:br/>
              <w:t xml:space="preserve">Teachers sharing knowledge and understanding based on the work being done in the classroom. </w:t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  <w:noWrap w:val="0"/>
          </w:tcPr>
          <w:p w:rsidR="00171379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 will have a source of evidence to implement and record their Numeracy planning documents and track student assessments.</w:t>
              <w:br/>
              <w:t xml:space="preserve">Staff planning documents will demonstrate the teaching and learning outcomes for students. </w:t>
              <w:br/>
              <w:t xml:space="preserve">Individualised student data will be available. Students will be able to identify where they are at with their learning in Numeracy. </w:t>
              <w:br/>
              <w:t xml:space="preserve">Students in the Senior classroom will be able to share their learning and have evidence of reading rubrics that they have coconstructed with their peers. </w:t>
            </w:r>
          </w:p>
        </w:tc>
      </w:tr>
      <w:tr w:rsidTr="006C7A56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 w:rsidR="00103446"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Tr="00AF3BC2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6205" w:type="dxa"/>
            <w:gridSpan w:val="2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Essential Assessment - staff to PD other staff. </w:t>
              <w:br/>
              <w:t>Reading Rubric developed by Senior Students - term 1 . Set reading goals within the Cluster for each Term . Upper Reading Group (MEC)</w:t>
              <w:br/>
              <w:t xml:space="preserve">Term plans documenting Numeracy Curriculum. </w:t>
              <w:br/>
              <w:t xml:space="preserve">Whole School Curriculum plan evidences Essential Assessment in Numeracy. </w:t>
            </w:r>
          </w:p>
        </w:tc>
        <w:tc>
          <w:tcPr>
            <w:tcW w:w="3150" w:type="dxa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/>
        </w:tc>
        <w:tc>
          <w:tcPr>
            <w:tcW w:w="1530" w:type="dxa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  <w:noWrap w:val="0"/>
          </w:tcPr>
          <w:p w:rsidR="0016685E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160" w:type="dxa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  <w:p/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Equity funding will be used</w:t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b/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student engagement in their learning</w:t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0"/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By 2023, the percentage of students responding positively to the Student voice and agency factor (AtoSS) will be at or above 86 per cent</w:t>
              <w:br/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0"/>
                <w:szCs w:val="24"/>
              </w:rPr>
              <w:t>12 Month Target 2.2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</w:t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0"/>
                <w:szCs w:val="24"/>
              </w:rPr>
              <w:t>12 Month Target 2.3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</w:t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0"/>
                <w:szCs w:val="24"/>
              </w:rPr>
              <w:t>12 Month Target 2.4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</w:t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D9D9D9" w:themeFill="background1" w:themeFillShade="D9"/>
            <w:noWrap w:val="0"/>
          </w:tcPr>
          <w:p w:rsidR="00973DEE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0"/>
                <w:szCs w:val="24"/>
              </w:rPr>
              <w:t>12 Month Target 2.5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NA</w:t>
            </w:r>
          </w:p>
        </w:tc>
      </w:tr>
      <w:tr w:rsidTr="00FA4D4A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5"/>
        </w:trPr>
        <w:tc>
          <w:tcPr>
            <w:tcW w:w="3119" w:type="dxa"/>
            <w:shd w:val="clear" w:color="auto" w:fill="auto"/>
            <w:noWrap w:val="0"/>
          </w:tcPr>
          <w:p w:rsidR="00973DEE" w:rsidRPr="006C7A56" w:rsidP="00171379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 w:val="20"/>
                <w:szCs w:val="24"/>
              </w:rPr>
              <w:t>KIS 1</w:t>
            </w:r>
          </w:p>
          <w:p>
            <w:r>
              <w:rPr>
                <w:sz w:val="20"/>
              </w:rPr>
              <w:t>Empowering students and building school pride</w:t>
            </w:r>
          </w:p>
        </w:tc>
        <w:tc>
          <w:tcPr>
            <w:tcW w:w="11996" w:type="dxa"/>
            <w:gridSpan w:val="5"/>
            <w:shd w:val="clear" w:color="auto" w:fill="auto"/>
            <w:noWrap w:val="0"/>
          </w:tcPr>
          <w:p w:rsidR="00973DEE" w:rsidRPr="00FE3D5C" w:rsidP="00FE3D5C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Develop and embed a consistent whole school approach to ensure student voice and agency is explicit in their learning</w:t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3E1FC6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Classroom practice is developed across the school with identified Learning Intentions and Success Criteria in Numeracy and Literacy. </w:t>
              <w:br/>
              <w:t xml:space="preserve">Student agency is developed through Learning Intentions and Success Criteria. </w:t>
              <w:br/>
              <w:t xml:space="preserve">Essential Assessment is used to establish students point of need in teaching Numeracy. </w:t>
              <w:br/>
              <w:t xml:space="preserve">Teaching reading </w:t>
              <w:br/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973DEE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  <w:noWrap w:val="0"/>
          </w:tcPr>
          <w:p w:rsidR="00973DEE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Teachers are able to understnd the point of need for every student and be informed as to where to next. </w:t>
              <w:br/>
              <w:t>Students are able to articulate what they are learning.</w:t>
              <w:br/>
              <w:t xml:space="preserve">Students know what they have to achieve to be successful in their learning. </w:t>
              <w:br/>
              <w:t xml:space="preserve">Essential Assessment will inform students of where they are at with their learning in Numeracy. </w:t>
            </w:r>
          </w:p>
        </w:tc>
      </w:tr>
      <w:tr w:rsidTr="005D3D69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171379" w:rsidRPr="005D3D69" w:rsidP="00AF3BC2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Success Indicators</w:t>
            </w:r>
          </w:p>
        </w:tc>
        <w:tc>
          <w:tcPr>
            <w:tcW w:w="11996" w:type="dxa"/>
            <w:gridSpan w:val="5"/>
            <w:noWrap w:val="0"/>
          </w:tcPr>
          <w:p w:rsidR="00171379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Essential Assessment data available for every student. </w:t>
              <w:br/>
              <w:t xml:space="preserve">Student Essential assessment folders t support individualised learning. </w:t>
              <w:br/>
              <w:t xml:space="preserve">Teacher planning documents show evidence of student tracking and indiviualised learning tasks. </w:t>
              <w:br/>
              <w:t xml:space="preserve">Student Voice and Agency data collected in Attitudes to School Student Survey. </w:t>
            </w:r>
          </w:p>
        </w:tc>
      </w:tr>
      <w:tr w:rsidTr="006C7A56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3E1FC6" w:rsidRPr="006C7A56" w:rsidP="00103446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 w:rsidR="00103446"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E1FC6" w:rsidRPr="006C7A56" w:rsidP="00FA4D4A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Tr="00AF3BC2">
        <w:tblPrEx>
          <w:tblW w:w="1511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20"/>
        </w:trPr>
        <w:tc>
          <w:tcPr>
            <w:tcW w:w="6205" w:type="dxa"/>
            <w:gridSpan w:val="2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Attitudes to School Student Survey</w:t>
              <w:br/>
              <w:t xml:space="preserve">Essential Assessment pre, mid and post tests conducted. </w:t>
              <w:br/>
              <w:t>Learning Intentions and Successs Critieria templates used in each classroom. (Literacy and Numeracy)</w:t>
              <w:br/>
            </w:r>
          </w:p>
        </w:tc>
        <w:tc>
          <w:tcPr>
            <w:tcW w:w="3150" w:type="dxa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/>
        </w:tc>
        <w:tc>
          <w:tcPr>
            <w:tcW w:w="1530" w:type="dxa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  <w:noWrap w:val="0"/>
          </w:tcPr>
          <w:p w:rsidR="0016685E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160" w:type="dxa"/>
            <w:noWrap w:val="0"/>
          </w:tcPr>
          <w:p w:rsidR="003E1FC6" w:rsidRPr="006C7A56" w:rsidP="00AF3BC2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  <w:p/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6307C3" w:rsidP="006C7A56">
      <w:pPr>
        <w:pStyle w:val="ESBodyText"/>
      </w:pPr>
    </w:p>
    <w:p/>
    <w:p>
      <w:pPr>
        <w:sectPr w:rsidSect="006C7A56">
          <w:headerReference w:type="even" r:id="rId26"/>
          <w:headerReference w:type="default" r:id="rId27"/>
          <w:footerReference w:type="default" r:id="rId28"/>
          <w:headerReference w:type="first" r:id="rId29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6307C3" w:rsidRPr="00747ADA" w:rsidP="00404526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t xml:space="preserve">Equity Funding Planner </w:t>
      </w:r>
    </w:p>
    <w:p w:rsidR="00DA3296" w:rsidP="00DA3296">
      <w:pPr>
        <w:pStyle w:val="ESSubheading1"/>
        <w:spacing w:after="120"/>
      </w:pPr>
      <w:r>
        <w:t>Equity Spending Totals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10132"/>
        <w:gridCol w:w="1755"/>
        <w:gridCol w:w="1755"/>
      </w:tblGrid>
      <w:tr w:rsidTr="001F61DE">
        <w:tblPrEx>
          <w:tblW w:w="15282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318"/>
        </w:trPr>
        <w:tc>
          <w:tcPr>
            <w:tcW w:w="10132" w:type="dxa"/>
            <w:shd w:val="clear" w:color="auto" w:fill="D9D9D9" w:themeFill="background1" w:themeFillShade="D9"/>
          </w:tcPr>
          <w:p w:rsidR="001F61DE" w:rsidRPr="00DA3296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Spend ($)</w:t>
            </w:r>
          </w:p>
        </w:tc>
      </w:tr>
      <w:tr w:rsidTr="001F61DE">
        <w:tblPrEx>
          <w:tblW w:w="15282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318"/>
        </w:trPr>
        <w:tc>
          <w:tcPr>
            <w:tcW w:w="10132" w:type="dxa"/>
          </w:tcPr>
          <w:p w:rsidR="001F61DE" w:rsidRPr="00DA3296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funding associated with Activities and Milestones</w:t>
            </w:r>
          </w:p>
        </w:tc>
        <w:tc>
          <w:tcPr>
            <w:tcW w:w="1755" w:type="dxa"/>
            <w:noWrap w:val="0"/>
          </w:tcPr>
          <w:p w:rsidR="001F61DE" w:rsidRPr="00DA3296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755" w:type="dxa"/>
            <w:noWrap w:val="0"/>
          </w:tcPr>
          <w:p w:rsidR="001F61DE" w:rsidRPr="00DA3296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0.00</w:t>
            </w:r>
          </w:p>
        </w:tc>
      </w:tr>
      <w:tr w:rsidTr="001F61DE">
        <w:tblPrEx>
          <w:tblW w:w="15282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318"/>
        </w:trPr>
        <w:tc>
          <w:tcPr>
            <w:tcW w:w="10132" w:type="dxa"/>
          </w:tcPr>
          <w:p w:rsidR="001F61DE" w:rsidRPr="00DA3296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Equity funding</w:t>
            </w:r>
          </w:p>
        </w:tc>
        <w:tc>
          <w:tcPr>
            <w:tcW w:w="1755" w:type="dxa"/>
            <w:noWrap w:val="0"/>
          </w:tcPr>
          <w:p w:rsidR="001F61DE" w:rsidRPr="00DA3296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  <w:noWrap w:val="0"/>
          </w:tcPr>
          <w:p w:rsidR="001F61DE" w:rsidRPr="00DA3296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Tr="001F61DE">
        <w:tblPrEx>
          <w:tblW w:w="15282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318"/>
        </w:trPr>
        <w:tc>
          <w:tcPr>
            <w:tcW w:w="10132" w:type="dxa"/>
            <w:shd w:val="clear" w:color="auto" w:fill="BFBFBF" w:themeFill="background1" w:themeFillShade="BF"/>
          </w:tcPr>
          <w:p w:rsidR="001F61DE" w:rsidRPr="00DA3296" w:rsidP="001F61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755" w:type="dxa"/>
            <w:shd w:val="clear" w:color="auto" w:fill="BFBFBF" w:themeFill="background1" w:themeFillShade="BF"/>
            <w:noWrap w:val="0"/>
          </w:tcPr>
          <w:p w:rsidR="001F61DE" w:rsidRPr="00DA3296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755" w:type="dxa"/>
            <w:shd w:val="clear" w:color="auto" w:fill="BFBFBF" w:themeFill="background1" w:themeFillShade="BF"/>
            <w:noWrap w:val="0"/>
          </w:tcPr>
          <w:p w:rsidR="001F61DE" w:rsidRPr="00DA3296" w:rsidP="001F6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F5461B" w:rsidP="007B0A9A">
      <w:pPr>
        <w:spacing w:after="0" w:line="240" w:lineRule="auto"/>
        <w:rPr>
          <w:sz w:val="20"/>
          <w:szCs w:val="20"/>
        </w:rPr>
      </w:pPr>
    </w:p>
    <w:p w:rsidR="003B58DD" w:rsidP="00DA3296">
      <w:pPr>
        <w:pStyle w:val="ESSubheading1"/>
        <w:spacing w:after="120"/>
      </w:pPr>
    </w:p>
    <w:p w:rsidR="00DA3296" w:rsidRPr="00DA3296" w:rsidP="00DA3296">
      <w:pPr>
        <w:pStyle w:val="ESSubheading1"/>
        <w:spacing w:after="120"/>
      </w:pPr>
      <w:r>
        <w:t>Activities and Milestones</w:t>
      </w:r>
    </w:p>
    <w:tbl>
      <w:tblPr>
        <w:tblStyle w:val="TableGrid"/>
        <w:tblW w:w="15281" w:type="dxa"/>
        <w:tblInd w:w="-54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4489"/>
        <w:gridCol w:w="1504"/>
        <w:gridCol w:w="4139"/>
        <w:gridCol w:w="1756"/>
        <w:gridCol w:w="1756"/>
      </w:tblGrid>
      <w:tr w:rsidTr="001F61DE">
        <w:tblPrEx>
          <w:tblW w:w="15281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296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1F61DE" w:rsidRPr="00DA3296" w:rsidP="00F546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Tr="001F61DE">
        <w:tblPrEx>
          <w:tblW w:w="15281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296"/>
        </w:trPr>
        <w:tc>
          <w:tcPr>
            <w:tcW w:w="4490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Scheduled meetings </w:t>
              <w:br/>
              <w:t xml:space="preserve">Staff PD in Reading and Numeracy </w:t>
              <w:br/>
              <w:t>Staff Curriculum days to share planning and create documentation.</w:t>
            </w:r>
          </w:p>
        </w:tc>
        <w:tc>
          <w:tcPr>
            <w:tcW w:w="1504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4138" w:type="dxa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School-based staffing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Teaching and learning programs and resources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Professional development (excluding CRT costs and new FTE)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$2,000.00</w:t>
            </w:r>
          </w:p>
        </w:tc>
        <w:tc>
          <w:tcPr>
            <w:tcW w:w="1756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</w:tr>
      <w:tr w:rsidTr="001F61DE">
        <w:tblPrEx>
          <w:tblW w:w="15281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296"/>
        </w:trPr>
        <w:tc>
          <w:tcPr>
            <w:tcW w:w="4490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Essential Assessment - staff to PD other staff. </w:t>
              <w:br/>
              <w:t>Reading Rubric developed by Senior Students - term 1 . Set reading goals within the Cluster for each Term . Upper Reading Group (MEC)</w:t>
              <w:br/>
              <w:t xml:space="preserve">Term plans documenting Numeracy Curriculum. </w:t>
              <w:br/>
              <w:t xml:space="preserve">Whole School Curriculum plan evidences Essential Assessment in Numeracy. </w:t>
            </w:r>
          </w:p>
        </w:tc>
        <w:tc>
          <w:tcPr>
            <w:tcW w:w="1504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4138" w:type="dxa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School-based staffing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Teaching and learning programs and resources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Professional development (excluding CRT costs and new FTE)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756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</w:tr>
      <w:tr w:rsidTr="001F61DE">
        <w:tblPrEx>
          <w:tblW w:w="15281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296"/>
        </w:trPr>
        <w:tc>
          <w:tcPr>
            <w:tcW w:w="4490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Attitudes to School Student Survey</w:t>
              <w:br/>
              <w:t xml:space="preserve">Essential Assessment pre, mid and post tests conducted. </w:t>
              <w:br/>
              <w:t>Learning Intentions and Successs Critieria templates used in each classroom. (Literacy and Numeracy)</w:t>
              <w:br/>
            </w:r>
          </w:p>
        </w:tc>
        <w:tc>
          <w:tcPr>
            <w:tcW w:w="1504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4138" w:type="dxa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School-based staffing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Teaching and learning programs and resources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$1,000.00</w:t>
            </w:r>
          </w:p>
        </w:tc>
        <w:tc>
          <w:tcPr>
            <w:tcW w:w="1756" w:type="dxa"/>
            <w:noWrap w:val="0"/>
          </w:tcPr>
          <w:p w:rsidR="001F61DE" w:rsidRPr="00404526" w:rsidP="00F5461B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</w:tr>
      <w:tr w:rsidTr="001F61DE">
        <w:tblPrEx>
          <w:tblW w:w="15281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wAfter w:w="8" w:type="dxa"/>
          <w:trHeight w:val="332"/>
        </w:trPr>
        <w:tc>
          <w:tcPr>
            <w:tcW w:w="10134" w:type="dxa"/>
            <w:gridSpan w:val="3"/>
            <w:shd w:val="clear" w:color="auto" w:fill="BFBFBF" w:themeFill="background1" w:themeFillShade="BF"/>
          </w:tcPr>
          <w:p w:rsidR="001F61DE" w:rsidRPr="00DA3296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6" w:type="dxa"/>
            <w:shd w:val="clear" w:color="auto" w:fill="BFBFBF" w:themeFill="background1" w:themeFillShade="BF"/>
            <w:noWrap w:val="0"/>
          </w:tcPr>
          <w:p w:rsidR="001F61DE" w:rsidRPr="00367F2E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$4,000.00</w:t>
            </w:r>
          </w:p>
        </w:tc>
        <w:tc>
          <w:tcPr>
            <w:tcW w:w="1756" w:type="dxa"/>
            <w:shd w:val="clear" w:color="auto" w:fill="BFBFBF" w:themeFill="background1" w:themeFillShade="BF"/>
            <w:noWrap w:val="0"/>
          </w:tcPr>
          <w:p w:rsidR="001F61DE" w:rsidRPr="00367F2E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F5461B" w:rsidP="007B0A9A">
      <w:pPr>
        <w:spacing w:after="0" w:line="240" w:lineRule="auto"/>
        <w:rPr>
          <w:sz w:val="24"/>
          <w:szCs w:val="24"/>
        </w:rPr>
      </w:pPr>
    </w:p>
    <w:p w:rsidR="00F5461B" w:rsidP="00DA3296">
      <w:pPr>
        <w:pStyle w:val="ESSubheading1"/>
        <w:spacing w:after="120"/>
      </w:pPr>
      <w:r>
        <w:t>Additional Equity spend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4490"/>
        <w:gridCol w:w="1504"/>
        <w:gridCol w:w="4138"/>
        <w:gridCol w:w="1755"/>
        <w:gridCol w:w="1755"/>
      </w:tblGrid>
      <w:tr w:rsidTr="001F61DE">
        <w:tblPrEx>
          <w:tblW w:w="15282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253"/>
        </w:trPr>
        <w:tc>
          <w:tcPr>
            <w:tcW w:w="4490" w:type="dxa"/>
            <w:shd w:val="clear" w:color="auto" w:fill="D9D9D9" w:themeFill="background1" w:themeFillShade="D9"/>
          </w:tcPr>
          <w:p w:rsidR="001F61DE" w:rsidRPr="00DA3296" w:rsidP="00216C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here any </w:t>
            </w:r>
            <w:r w:rsidRPr="00216C16">
              <w:rPr>
                <w:b/>
                <w:sz w:val="20"/>
                <w:szCs w:val="20"/>
              </w:rPr>
              <w:t>additional</w:t>
            </w:r>
            <w:r>
              <w:rPr>
                <w:b/>
                <w:sz w:val="20"/>
                <w:szCs w:val="20"/>
              </w:rPr>
              <w:t xml:space="preserve"> Equity spend for </w:t>
            </w:r>
            <w:r w:rsidRPr="00216C16" w:rsidR="00216C1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1F61DE" w:rsidRPr="00DA3296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1F61DE" w:rsidRPr="00DA3296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1F61DE" w:rsidRPr="00DA3296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Tr="001F61DE">
        <w:tblPrEx>
          <w:tblW w:w="15282" w:type="dxa"/>
          <w:tblInd w:w="-545" w:type="dxa"/>
          <w:tblLayout w:type="fixed"/>
          <w:tblCellMar>
            <w:top w:w="57" w:type="dxa"/>
            <w:bottom w:w="57" w:type="dxa"/>
          </w:tblCellMar>
          <w:tblLook w:val="04A0"/>
        </w:tblPrEx>
        <w:trPr>
          <w:trHeight w:val="284"/>
        </w:trPr>
        <w:tc>
          <w:tcPr>
            <w:tcW w:w="10132" w:type="dxa"/>
            <w:gridSpan w:val="3"/>
            <w:shd w:val="clear" w:color="auto" w:fill="BFBFBF" w:themeFill="background1" w:themeFillShade="BF"/>
          </w:tcPr>
          <w:p w:rsidR="001F61DE" w:rsidRPr="00DA3296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5" w:type="dxa"/>
            <w:shd w:val="clear" w:color="auto" w:fill="BFBFBF" w:themeFill="background1" w:themeFillShade="BF"/>
            <w:noWrap w:val="0"/>
          </w:tcPr>
          <w:p w:rsidR="001F61DE" w:rsidRPr="00367F2E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  <w:shd w:val="clear" w:color="auto" w:fill="BFBFBF" w:themeFill="background1" w:themeFillShade="BF"/>
            <w:noWrap w:val="0"/>
          </w:tcPr>
          <w:p w:rsidR="001F61DE" w:rsidRPr="00367F2E" w:rsidP="00BC6C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747ADA" w:rsidRPr="00DA3296" w:rsidP="00747ADA">
      <w:pPr>
        <w:pStyle w:val="ESSubheading1"/>
        <w:spacing w:after="120"/>
        <w:ind w:left="0"/>
        <w:sectPr w:rsidSect="00120B7B">
          <w:headerReference w:type="even" r:id="rId30"/>
          <w:headerReference w:type="default" r:id="rId31"/>
          <w:footerReference w:type="default" r:id="rId32"/>
          <w:headerReference w:type="first" r:id="rId33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6F370A" w:rsidRPr="006F370A" w:rsidP="0031627D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t>Professional Learning and Development Plan</w:t>
      </w:r>
    </w:p>
    <w:p w:rsidR="00C259B6" w:rsidRPr="00110191" w:rsidP="00C259B6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C259B6" w:rsidRPr="0031627D" w:rsidP="00BB22C9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:rsidR="00C259B6" w:rsidRPr="00BB22C9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:rsidR="00C259B6" w:rsidRPr="00BB22C9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259B6" w:rsidRPr="00BB22C9" w:rsidP="00BB22C9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</w:t>
            </w:r>
            <w:r w:rsidRPr="0031627D" w:rsidR="00A67176">
              <w:rPr>
                <w:bCs/>
                <w:szCs w:val="36"/>
              </w:rPr>
              <w:t>he</w:t>
            </w:r>
            <w:r w:rsidRPr="0031627D">
              <w:rPr>
                <w:bCs/>
                <w:szCs w:val="36"/>
              </w:rPr>
              <w:t>re</w:t>
            </w:r>
          </w:p>
          <w:p w:rsidR="00C259B6" w:rsidRPr="00BB22C9" w:rsidP="00BB22C9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 xml:space="preserve">Scheduled meetings </w:t>
              <w:br/>
              <w:t xml:space="preserve">Staff PD in Reading and Numeracy </w:t>
              <w:br/>
              <w:t>Staff Curriculum days to share planning and create documentation.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Planning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Moderated assessment of student learning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Whole School Pupil Free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Professional Practice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expertise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Internal staff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Leaders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 xml:space="preserve">Essential Assessment - staff to PD other staff. </w:t>
              <w:br/>
              <w:t>Reading Rubric developed by Senior Students - term 1 . Set reading goals within the Cluster for each Term . Upper Reading Group (MEC)</w:t>
              <w:br/>
              <w:t xml:space="preserve">Term plans documenting Numeracy Curriculum. </w:t>
              <w:br/>
              <w:t xml:space="preserve">Whole School Curriculum plan evidences Essential Assessment in Numeracy. </w:t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Planning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Preparation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Whole School Pupil Free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Professional Practice Day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expertise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Internal staff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Literacy Leaders</w:t>
            </w:r>
          </w:p>
          <w:p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High Impact Teaching Strategies (HITS)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  <w:tr w:rsidTr="002D1F7D">
        <w:tblPrEx>
          <w:tblW w:w="15030" w:type="dxa"/>
          <w:tblInd w:w="-455" w:type="dxa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10"/>
        </w:trPr>
        <w:tc>
          <w:tcPr>
            <w:tcW w:w="288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Attitudes to School Student Survey</w:t>
              <w:br/>
              <w:t xml:space="preserve">Essential Assessment pre, mid and post tests conducted. </w:t>
              <w:br/>
              <w:t>Learning Intentions and Successs Critieria templates used in each classroom. (Literacy and Numeracy)</w:t>
              <w:br/>
            </w:r>
          </w:p>
        </w:tc>
        <w:tc>
          <w:tcPr>
            <w:tcW w:w="15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All Staff</w:t>
            </w:r>
          </w:p>
          <w:p/>
        </w:tc>
        <w:tc>
          <w:tcPr>
            <w:tcW w:w="1440" w:type="dxa"/>
            <w:noWrap w:val="0"/>
          </w:tcPr>
          <w:p w:rsidR="00C259B6" w:rsidRPr="00FB5F1A" w:rsidP="00FB5F1A">
            <w:pPr>
              <w:spacing w:after="0"/>
            </w:pPr>
            <w:r>
              <w:rPr>
                <w:sz w:val="20"/>
              </w:rPr>
              <w:t>from:</w:t>
              <w:br/>
              <w:t>Term 1</w:t>
            </w:r>
          </w:p>
          <w:p>
            <w:r>
              <w:rPr>
                <w:sz w:val="20"/>
              </w:rPr>
              <w:t>to:</w:t>
              <w:br/>
              <w:t>Term 4</w:t>
            </w:r>
          </w:p>
        </w:tc>
        <w:tc>
          <w:tcPr>
            <w:tcW w:w="279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Student voice, including input and feedback</w:t>
            </w:r>
          </w:p>
        </w:tc>
        <w:tc>
          <w:tcPr>
            <w:tcW w:w="270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C259B6" w:rsidRPr="00FB5F1A" w:rsidP="00FB5F1A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On-site</w:t>
            </w:r>
          </w:p>
        </w:tc>
      </w:tr>
    </w:tbl>
    <w:p w:rsidR="00E66A5E" w:rsidP="004B6AD4">
      <w:pPr>
        <w:pStyle w:val="ESBodyText"/>
      </w:pPr>
    </w:p>
    <w:sectPr w:rsidSect="00CF64C4">
      <w:headerReference w:type="even" r:id="rId34"/>
      <w:headerReference w:type="default" r:id="rId35"/>
      <w:footerReference w:type="default" r:id="rId36"/>
      <w:headerReference w:type="first" r:id="rId37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B29" w:rsidRPr="00793BFC" w:rsidP="00793BFC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Underbool Primary School (3819) - 2020 - AIP - Overall</w:t>
    </w:r>
    <w:r w:rsidRPr="00793BFC" w:rsidR="000C104E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B33DA4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B29" w:rsidRPr="00B4442D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Underbool Primary School (3819) - 2020 - AIP - Self Evaluation Summary</w:t>
    </w:r>
    <w:r w:rsidRPr="00B4442D" w:rsidR="000C104E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1280218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175B96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3B06" w:rsidRPr="007839E6" w:rsidP="00362A9C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Underbool Primary School (3819) - 2020 -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8320757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586282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3B06" w:rsidRPr="007B2B29" w:rsidP="00B076DB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864EAA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B29" w:rsidRPr="00006534" w:rsidP="00943620">
    <w:pPr>
      <w:pStyle w:val="ESSubheading1"/>
      <w:ind w:firstLine="567"/>
    </w:pPr>
    <w:r w:rsidRPr="00943620">
      <w:rPr>
        <w:noProof/>
        <w:sz w:val="15"/>
        <w:szCs w:val="15"/>
      </w:rPr>
      <w:t>Underbool Primary School (3819) - 2020 - AIP - Annual Goals Targets and KIS</w:t>
    </w:r>
    <w:r w:rsidRPr="000C104E" w:rsidR="000C104E">
      <w:rPr>
        <w:noProof/>
        <w:lang w:val="en-AU"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0786029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 w:rsidR="00943620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89013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C15853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B29" w:rsidRPr="00006534" w:rsidP="0091722C">
    <w:pPr>
      <w:pStyle w:val="ESSubheading1"/>
      <w:ind w:firstLine="567"/>
    </w:pPr>
    <w:r w:rsidRPr="0091722C">
      <w:rPr>
        <w:noProof/>
        <w:sz w:val="15"/>
        <w:szCs w:val="15"/>
      </w:rPr>
      <w:t>Underbool Primary School (3819) - 2020 - AIP - Actions Outcomes and Activities</w:t>
    </w:r>
    <w:r w:rsidRPr="000C104E" w:rsid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817258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103446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B29" w:rsidRPr="00B4442D" w:rsidP="00DD6247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Underbool Primary School (3819) - 2020 - AIP - Equity Funding Planning</w:t>
    </w:r>
    <w:r w:rsidRPr="00B4442D" w:rsidR="000C104E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9609095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825296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34778B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2B29" w:rsidRPr="00006534" w:rsidP="005513BB">
    <w:pPr>
      <w:pStyle w:val="ESSubheading1"/>
      <w:ind w:firstLine="567"/>
    </w:pPr>
    <w:r w:rsidRPr="005513BB">
      <w:rPr>
        <w:noProof/>
        <w:sz w:val="15"/>
        <w:szCs w:val="15"/>
      </w:rPr>
      <w:t>Underbool Primary School (3819) - 2020 - AIP - Professional Learning Plan</w:t>
    </w:r>
    <w:r w:rsidRPr="000C104E" w:rsid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26594844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 w:rsidR="005513BB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028081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B29" w:rsidRPr="007B2B29" w:rsidP="007B2B29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110191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33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5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6672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4C22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67223322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5408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7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793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4C22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8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7696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9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896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4C22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69449919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8720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6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99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4C22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4C22" w:rsidRPr="003E29B5" w:rsidP="008766A4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3308441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0DD4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974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0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5926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1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462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0DD4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259B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64384" filled="f" stroked="f">
              <o:lock v:ext="edit" shapetype="t"/>
              <v:textbox style="mso-fit-shape-to-text:t">
                <w:txbxContent>
                  <w:p w:rsidR="00C259B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3B06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53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8588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3B06"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3B06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23B06" w:rsidP="00C259B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>
                                <w14:solidFill>
                                  <w14:srgbClr w14:val="D3D3D3"/>
                                </w14:solidFill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height:180pt;margin-left:0;margin-top:0;mso-height-percent:0;mso-height-relative:page;mso-position-horizontal:center;mso-position-horizontal-relative:page;mso-position-vertical:center;mso-position-vertical-relative:page;mso-width-percent:0;mso-width-relative:page;mso-wrap-distance-bottom:0;mso-wrap-distance-left:9pt;mso-wrap-distance-right:9pt;mso-wrap-distance-top:0;mso-wrap-style:square;position:absolute;rotation:-40;v-text-anchor:top;visibility:visible;width:500pt;z-index:251675648" filled="f" stroked="f">
              <o:lock v:ext="edit" shapetype="t"/>
              <v:textbox style="mso-fit-shape-to-text:t">
                <w:txbxContent>
                  <w:p w:rsidR="00823B06" w:rsidP="00C259B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>
                          <w14:solidFill>
                            <w14:srgbClr w14:val="D3D3D3"/>
                          </w14:solidFill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960527E"/>
    <w:multiLevelType w:val="hybridMultilevel"/>
    <w:tmpl w:val="97505B86"/>
    <w:lvl w:ilvl="0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name"/>
  <w:autoFormatOverride/>
  <w:defaultTabStop w:val="720"/>
  <w:drawingGridHorizontalSpacing w:val="9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hAnsi="Arial" w:eastAsiaTheme="majorEastAsia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hAnsi="Arial" w:eastAsiaTheme="majorEastAsia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hAnsi="Arial" w:eastAsiaTheme="majorEastAsia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hAnsi="Arial" w:eastAsiaTheme="majorEastAsia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hAnsi="Arial" w:eastAsiaTheme="majorEastAsia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header" Target="header3.xml" /><Relationship Id="rId14" Type="http://schemas.openxmlformats.org/officeDocument/2006/relationships/header" Target="header4.xml" /><Relationship Id="rId15" Type="http://schemas.openxmlformats.org/officeDocument/2006/relationships/header" Target="header5.xml" /><Relationship Id="rId16" Type="http://schemas.openxmlformats.org/officeDocument/2006/relationships/footer" Target="footer2.xml" /><Relationship Id="rId17" Type="http://schemas.openxmlformats.org/officeDocument/2006/relationships/header" Target="header6.xml" /><Relationship Id="rId18" Type="http://schemas.openxmlformats.org/officeDocument/2006/relationships/header" Target="header7.xml" /><Relationship Id="rId19" Type="http://schemas.openxmlformats.org/officeDocument/2006/relationships/header" Target="header8.xml" /><Relationship Id="rId2" Type="http://schemas.openxmlformats.org/officeDocument/2006/relationships/webSettings" Target="webSettings.xml" /><Relationship Id="rId20" Type="http://schemas.openxmlformats.org/officeDocument/2006/relationships/footer" Target="footer3.xml" /><Relationship Id="rId21" Type="http://schemas.openxmlformats.org/officeDocument/2006/relationships/header" Target="header9.xml" /><Relationship Id="rId22" Type="http://schemas.openxmlformats.org/officeDocument/2006/relationships/header" Target="header10.xml" /><Relationship Id="rId23" Type="http://schemas.openxmlformats.org/officeDocument/2006/relationships/header" Target="header11.xml" /><Relationship Id="rId24" Type="http://schemas.openxmlformats.org/officeDocument/2006/relationships/footer" Target="footer4.xml" /><Relationship Id="rId25" Type="http://schemas.openxmlformats.org/officeDocument/2006/relationships/header" Target="header12.xml" /><Relationship Id="rId26" Type="http://schemas.openxmlformats.org/officeDocument/2006/relationships/header" Target="header13.xml" /><Relationship Id="rId27" Type="http://schemas.openxmlformats.org/officeDocument/2006/relationships/header" Target="header14.xml" /><Relationship Id="rId28" Type="http://schemas.openxmlformats.org/officeDocument/2006/relationships/footer" Target="footer5.xml" /><Relationship Id="rId29" Type="http://schemas.openxmlformats.org/officeDocument/2006/relationships/header" Target="header15.xml" /><Relationship Id="rId3" Type="http://schemas.openxmlformats.org/officeDocument/2006/relationships/fontTable" Target="fontTable.xml" /><Relationship Id="rId30" Type="http://schemas.openxmlformats.org/officeDocument/2006/relationships/header" Target="header16.xml" /><Relationship Id="rId31" Type="http://schemas.openxmlformats.org/officeDocument/2006/relationships/header" Target="header17.xml" /><Relationship Id="rId32" Type="http://schemas.openxmlformats.org/officeDocument/2006/relationships/footer" Target="footer6.xml" /><Relationship Id="rId33" Type="http://schemas.openxmlformats.org/officeDocument/2006/relationships/header" Target="header18.xml" /><Relationship Id="rId34" Type="http://schemas.openxmlformats.org/officeDocument/2006/relationships/header" Target="header19.xml" /><Relationship Id="rId35" Type="http://schemas.openxmlformats.org/officeDocument/2006/relationships/header" Target="header20.xml" /><Relationship Id="rId36" Type="http://schemas.openxmlformats.org/officeDocument/2006/relationships/footer" Target="footer7.xml" /><Relationship Id="rId37" Type="http://schemas.openxmlformats.org/officeDocument/2006/relationships/header" Target="header21.xml" /><Relationship Id="rId38" Type="http://schemas.openxmlformats.org/officeDocument/2006/relationships/theme" Target="theme/theme1.xml" /><Relationship Id="rId39" Type="http://schemas.openxmlformats.org/officeDocument/2006/relationships/numbering" Target="numbering.xml" /><Relationship Id="rId4" Type="http://schemas.openxmlformats.org/officeDocument/2006/relationships/customXml" Target="../customXml/item1.xml" /><Relationship Id="rId40" Type="http://schemas.openxmlformats.org/officeDocument/2006/relationships/styles" Target="styles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6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footer7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1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17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20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_rels/header8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216CCA-54A4-4E61-8ED1-8F589480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Gurarie, Karina K</cp:lastModifiedBy>
  <cp:revision>96</cp:revision>
  <dcterms:created xsi:type="dcterms:W3CDTF">2017-09-11T05:00:00Z</dcterms:created>
  <dcterms:modified xsi:type="dcterms:W3CDTF">2018-10-17T04:28:00Z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